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508760" cy="4526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ibsafe_logo_whit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4526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4"/>
        </w:rPr>
        <w:t>Inspection Evidence Pack Checklist</w:t>
      </w:r>
    </w:p>
    <w:p>
      <w:r>
        <w:rPr>
          <w:rFonts w:ascii="Inter" w:hAnsi="Inter"/>
          <w:color w:val="4B5563"/>
          <w:sz w:val="20"/>
        </w:rPr>
        <w:t>A short pre-inspection check to confirm the records most likely to be requested are current and easy to produce.</w:t>
      </w:r>
    </w:p>
    <w:p>
      <w:r>
        <w:rPr>
          <w:rFonts w:ascii="Inter" w:hAnsi="Inter"/>
          <w:b/>
          <w:color w:val="E8572A"/>
        </w:rPr>
        <w:t>HOW TO USE</w:t>
      </w:r>
    </w:p>
    <w:p>
      <w:r>
        <w:rPr>
          <w:rFonts w:ascii="Inter" w:hAnsi="Inter"/>
          <w:sz w:val="18"/>
        </w:rPr>
        <w:t>Confirm what applies locally, complete the fields in coral, and review the finished record with the manager responsible. Keep the completed file with the evidence it refers to.</w:t>
      </w:r>
    </w:p>
    <w:p>
      <w:r>
        <w:rPr>
          <w:rFonts w:ascii="Inter" w:hAnsi="Inter"/>
          <w:b/>
          <w:color w:val="0E2745"/>
        </w:rPr>
        <w:t>Property and licensing</w:t>
      </w:r>
    </w:p>
    <w:p>
      <w:r>
        <w:rPr>
          <w:rFonts w:ascii="Inter" w:hAnsi="Inter"/>
          <w:sz w:val="18"/>
        </w:rPr>
        <w:t>☐  Current operating/business licence</w:t>
      </w:r>
    </w:p>
    <w:p>
      <w:r>
        <w:rPr>
          <w:rFonts w:ascii="Inter" w:hAnsi="Inter"/>
          <w:sz w:val="18"/>
        </w:rPr>
        <w:t>☐  Accommodation/tourism licence where applicable</w:t>
      </w:r>
    </w:p>
    <w:p>
      <w:r>
        <w:rPr>
          <w:rFonts w:ascii="Inter" w:hAnsi="Inter"/>
          <w:sz w:val="18"/>
        </w:rPr>
        <w:t>☐  Current health/environmental-health certificate where applicable</w:t>
      </w:r>
    </w:p>
    <w:p>
      <w:r>
        <w:rPr>
          <w:rFonts w:ascii="Inter" w:hAnsi="Inter"/>
          <w:sz w:val="18"/>
        </w:rPr>
        <w:t>☐  Previous inspection report and follow-up evidence</w:t>
      </w:r>
    </w:p>
    <w:p>
      <w:r>
        <w:rPr>
          <w:rFonts w:ascii="Inter" w:hAnsi="Inter"/>
          <w:b/>
          <w:color w:val="0E2745"/>
        </w:rPr>
        <w:t>Food and public health</w:t>
      </w:r>
    </w:p>
    <w:p>
      <w:r>
        <w:rPr>
          <w:rFonts w:ascii="Inter" w:hAnsi="Inter"/>
          <w:sz w:val="18"/>
        </w:rPr>
        <w:t>☐  Food-handler credentials where required</w:t>
      </w:r>
    </w:p>
    <w:p>
      <w:r>
        <w:rPr>
          <w:rFonts w:ascii="Inter" w:hAnsi="Inter"/>
          <w:sz w:val="18"/>
        </w:rPr>
        <w:t>☐  Recent food-safety monitoring records</w:t>
      </w:r>
    </w:p>
    <w:p>
      <w:r>
        <w:rPr>
          <w:rFonts w:ascii="Inter" w:hAnsi="Inter"/>
          <w:sz w:val="18"/>
        </w:rPr>
        <w:t>☐  Corrective-action records for deviations</w:t>
      </w:r>
    </w:p>
    <w:p>
      <w:r>
        <w:rPr>
          <w:rFonts w:ascii="Inter" w:hAnsi="Inter"/>
          <w:sz w:val="18"/>
        </w:rPr>
        <w:t>☐  Water testing/control records</w:t>
      </w:r>
    </w:p>
    <w:p>
      <w:r>
        <w:rPr>
          <w:rFonts w:ascii="Inter" w:hAnsi="Inter"/>
          <w:sz w:val="18"/>
        </w:rPr>
        <w:t>☐  Pest-management records</w:t>
      </w:r>
    </w:p>
    <w:p>
      <w:r>
        <w:rPr>
          <w:rFonts w:ascii="Inter" w:hAnsi="Inter"/>
          <w:b/>
          <w:color w:val="0E2745"/>
        </w:rPr>
        <w:t>People and safety</w:t>
      </w:r>
    </w:p>
    <w:p>
      <w:r>
        <w:rPr>
          <w:rFonts w:ascii="Inter" w:hAnsi="Inter"/>
          <w:sz w:val="18"/>
        </w:rPr>
        <w:t>☐  Induction and training evidence</w:t>
      </w:r>
    </w:p>
    <w:p>
      <w:r>
        <w:rPr>
          <w:rFonts w:ascii="Inter" w:hAnsi="Inter"/>
          <w:sz w:val="18"/>
        </w:rPr>
        <w:t>☐  First-aid / role-specific credentials</w:t>
      </w:r>
    </w:p>
    <w:p>
      <w:r>
        <w:rPr>
          <w:rFonts w:ascii="Inter" w:hAnsi="Inter"/>
          <w:sz w:val="18"/>
        </w:rPr>
        <w:t>☐  Emergency drill records</w:t>
      </w:r>
    </w:p>
    <w:p>
      <w:r>
        <w:rPr>
          <w:rFonts w:ascii="Inter" w:hAnsi="Inter"/>
          <w:sz w:val="18"/>
        </w:rPr>
        <w:t>☐  Incident and follow-up records</w:t>
      </w:r>
    </w:p>
    <w:p>
      <w:r>
        <w:rPr>
          <w:rFonts w:ascii="Inter" w:hAnsi="Inter"/>
          <w:b/>
          <w:color w:val="0E2745"/>
        </w:rPr>
        <w:t>Emergency readiness</w:t>
      </w:r>
    </w:p>
    <w:p>
      <w:r>
        <w:rPr>
          <w:rFonts w:ascii="Inter" w:hAnsi="Inter"/>
          <w:sz w:val="18"/>
        </w:rPr>
        <w:t>☐  Current hurricane/emergency plan</w:t>
      </w:r>
    </w:p>
    <w:p>
      <w:r>
        <w:rPr>
          <w:rFonts w:ascii="Inter" w:hAnsi="Inter"/>
          <w:sz w:val="18"/>
        </w:rPr>
        <w:t>☐  Named emergency roles</w:t>
      </w:r>
    </w:p>
    <w:p>
      <w:r>
        <w:rPr>
          <w:rFonts w:ascii="Inter" w:hAnsi="Inter"/>
          <w:sz w:val="18"/>
        </w:rPr>
        <w:t>☐  Pre-season readiness review</w:t>
      </w:r>
    </w:p>
    <w:p>
      <w:r>
        <w:rPr>
          <w:rFonts w:ascii="Inter" w:hAnsi="Inter"/>
          <w:sz w:val="18"/>
        </w:rPr>
        <w:t>☐  Recent exercise/debrief evidence</w:t>
      </w:r>
    </w:p>
    <w:p/>
    <w:p>
      <w:r>
        <w:rPr>
          <w:rFonts w:ascii="Inter" w:hAnsi="Inter"/>
          <w:b/>
          <w:color w:val="E8572A"/>
        </w:rPr>
        <w:t>IMPORTANT</w:t>
      </w:r>
    </w:p>
    <w:p>
      <w:r>
        <w:rPr>
          <w:rFonts w:ascii="Inter" w:hAnsi="Inter"/>
          <w:sz w:val="16"/>
        </w:rPr>
        <w:t>Requirements vary by country, territory, property type and service. Verify current local requirements. This resource is a planning aid, not legal or regulatory advice.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