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08760" cy="4526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ibsafe_logo_whit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4526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Inspection Finding Follow-Up Form</w:t>
      </w:r>
    </w:p>
    <w:p>
      <w:r>
        <w:rPr>
          <w:rFonts w:ascii="Inter" w:hAnsi="Inter"/>
          <w:color w:val="4B5563"/>
          <w:sz w:val="20"/>
        </w:rPr>
        <w:t>One page to take a finding from inspection note to assigned action, evidence, verification and closure.</w:t>
      </w:r>
    </w:p>
    <w:p>
      <w:r>
        <w:rPr>
          <w:rFonts w:ascii="Inter" w:hAnsi="Inter"/>
          <w:b/>
          <w:color w:val="E8572A"/>
        </w:rPr>
        <w:t>HOW TO USE</w:t>
      </w:r>
    </w:p>
    <w:p>
      <w:r>
        <w:rPr>
          <w:rFonts w:ascii="Inter" w:hAnsi="Inter"/>
          <w:sz w:val="18"/>
        </w:rPr>
        <w:t>Confirm what applies locally, complete the fields in coral, and review the finished record with the manager responsible. Keep the completed file with the evidence it refers to.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  <w:vAlign w:val="center"/>
          </w:tcPr>
          <w:p>
            <w:r/>
            <w:r>
              <w:rPr>
                <w:rFonts w:ascii="Inter" w:hAnsi="Inter"/>
                <w:b/>
                <w:color w:val="0E2745"/>
                <w:sz w:val="17"/>
              </w:rPr>
              <w:t>Property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rFonts w:ascii="Inter" w:hAnsi="Inter"/>
                <w:b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  <w:vAlign w:val="center"/>
          </w:tcPr>
          <w:p>
            <w:r/>
            <w:r>
              <w:rPr>
                <w:rFonts w:ascii="Inter" w:hAnsi="Inter"/>
                <w:b/>
                <w:color w:val="0E2745"/>
                <w:sz w:val="17"/>
              </w:rPr>
              <w:t>Inspection / review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rFonts w:ascii="Inter" w:hAnsi="Inter"/>
                <w:b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  <w:vAlign w:val="center"/>
          </w:tcPr>
          <w:p>
            <w:r/>
            <w:r>
              <w:rPr>
                <w:rFonts w:ascii="Inter" w:hAnsi="Inter"/>
                <w:b/>
                <w:color w:val="0E2745"/>
                <w:sz w:val="17"/>
              </w:rPr>
              <w:t>Date raised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rFonts w:ascii="Inter" w:hAnsi="Inter"/>
                <w:b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  <w:vAlign w:val="center"/>
          </w:tcPr>
          <w:p>
            <w:r/>
            <w:r>
              <w:rPr>
                <w:rFonts w:ascii="Inter" w:hAnsi="Inter"/>
                <w:b/>
                <w:color w:val="0E2745"/>
                <w:sz w:val="17"/>
              </w:rPr>
              <w:t>Finding / requirement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rFonts w:ascii="Inter" w:hAnsi="Inter"/>
                <w:b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  <w:vAlign w:val="center"/>
          </w:tcPr>
          <w:p>
            <w:r/>
            <w:r>
              <w:rPr>
                <w:rFonts w:ascii="Inter" w:hAnsi="Inter"/>
                <w:b/>
                <w:color w:val="0E2745"/>
                <w:sz w:val="17"/>
              </w:rPr>
              <w:t>Risk / priority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rFonts w:ascii="Inter" w:hAnsi="Inter"/>
                <w:b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  <w:vAlign w:val="center"/>
          </w:tcPr>
          <w:p>
            <w:r/>
            <w:r>
              <w:rPr>
                <w:rFonts w:ascii="Inter" w:hAnsi="Inter"/>
                <w:b/>
                <w:color w:val="0E2745"/>
                <w:sz w:val="17"/>
              </w:rPr>
              <w:t>Action required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rFonts w:ascii="Inter" w:hAnsi="Inter"/>
                <w:b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  <w:vAlign w:val="center"/>
          </w:tcPr>
          <w:p>
            <w:r/>
            <w:r>
              <w:rPr>
                <w:rFonts w:ascii="Inter" w:hAnsi="Inter"/>
                <w:b/>
                <w:color w:val="0E2745"/>
                <w:sz w:val="17"/>
              </w:rPr>
              <w:t>Owner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rFonts w:ascii="Inter" w:hAnsi="Inter"/>
                <w:b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  <w:vAlign w:val="center"/>
          </w:tcPr>
          <w:p>
            <w:r/>
            <w:r>
              <w:rPr>
                <w:rFonts w:ascii="Inter" w:hAnsi="Inter"/>
                <w:b/>
                <w:color w:val="0E2745"/>
                <w:sz w:val="17"/>
              </w:rPr>
              <w:t>Due date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rFonts w:ascii="Inter" w:hAnsi="Inter"/>
                <w:b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  <w:vAlign w:val="center"/>
          </w:tcPr>
          <w:p>
            <w:r/>
            <w:r>
              <w:rPr>
                <w:rFonts w:ascii="Inter" w:hAnsi="Inter"/>
                <w:b/>
                <w:color w:val="0E2745"/>
                <w:sz w:val="17"/>
              </w:rPr>
              <w:t>Evidence attached / location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rFonts w:ascii="Inter" w:hAnsi="Inter"/>
                <w:b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  <w:vAlign w:val="center"/>
          </w:tcPr>
          <w:p>
            <w:r/>
            <w:r>
              <w:rPr>
                <w:rFonts w:ascii="Inter" w:hAnsi="Inter"/>
                <w:b/>
                <w:color w:val="0E2745"/>
                <w:sz w:val="17"/>
              </w:rPr>
              <w:t>Verification completed by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rFonts w:ascii="Inter" w:hAnsi="Inter"/>
                <w:b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  <w:vAlign w:val="center"/>
          </w:tcPr>
          <w:p>
            <w:r/>
            <w:r>
              <w:rPr>
                <w:rFonts w:ascii="Inter" w:hAnsi="Inter"/>
                <w:b/>
                <w:color w:val="0E2745"/>
                <w:sz w:val="17"/>
              </w:rPr>
              <w:t>Verification date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rFonts w:ascii="Inter" w:hAnsi="Inter"/>
                <w:b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  <w:vAlign w:val="center"/>
          </w:tcPr>
          <w:p>
            <w:r/>
            <w:r>
              <w:rPr>
                <w:rFonts w:ascii="Inter" w:hAnsi="Inter"/>
                <w:b/>
                <w:color w:val="0E2745"/>
                <w:sz w:val="17"/>
              </w:rPr>
              <w:t>Closure notes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rFonts w:ascii="Inter" w:hAnsi="Inter"/>
                <w:b/>
                <w:color w:val="E8572A"/>
                <w:sz w:val="17"/>
              </w:rPr>
              <w:t>[Complete here]</w:t>
            </w:r>
          </w:p>
        </w:tc>
      </w:tr>
    </w:tbl>
    <w:p/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Requirements vary by country, territory, property type and service. Verify current local requirements. This resource is a planning aid, not legal or regulatory advice.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