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Guest Illness Response Worksheet</w:t>
      </w:r>
    </w:p>
    <w:p>
      <w:r>
        <w:rPr>
          <w:rFonts w:ascii="Inter" w:hAnsi="Inter"/>
          <w:color w:val="4B5563"/>
          <w:sz w:val="20"/>
        </w:rPr>
        <w:t>Create a factual operational record, protect privacy, escalate appropriately and preserve information for public-health follow-up.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time reported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/ room identifier per privacy policy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Symptoms described by guest - factual only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Reported onset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Places / meals reported by guest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Others reportedly unwell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guest support offered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/ designated lead notified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Food / water / environmental concern identified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Records / samples / evidence preserved where appropriate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Public-health reporting route checked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Cleaning / control action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Privacy / access restriction applied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/ closure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environmental-health and public-health requirements in your jurisdiction. This resource supports management and recordkeeping; it is not legal, medical, laboratory or engineering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