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Mosquito &amp; Vector Control Checklist</w:t>
      </w:r>
    </w:p>
    <w:p>
      <w:r>
        <w:rPr>
          <w:rFonts w:ascii="Inter" w:hAnsi="Inter"/>
          <w:color w:val="4B5563"/>
          <w:sz w:val="20"/>
        </w:rPr>
        <w:t>Inspect common breeding and entry conditions around accommodation, grounds, drainage and service areas, then assign action.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Standing water around grounds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Blocked drains / gutters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Plant saucers / decorative containers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Waste / discarded containers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Pool / water-feature concern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Screens / doors / entry points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Guest-room / balcony issue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Back-of-house breeding point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Contractor treatment due / completed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Staff report / guest report trend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Corrective action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Owner / due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Recheck / closure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Verify current environmental-health and public-health requirements in your jurisdiction. This resource supports management and recordkeeping; it is not legal, medical, laboratory or engineering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