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Incident Follow-Up Checklist</w:t>
      </w:r>
    </w:p>
    <w:p>
      <w:r>
        <w:rPr>
          <w:rFonts w:ascii="Inter" w:hAnsi="Inter"/>
          <w:color w:val="4B5563"/>
          <w:sz w:val="20"/>
        </w:rPr>
        <w:t>Move an incident from initial report to investigation, action, communication and verified closure.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risk controlled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Relevant manager notified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People supported / medical needs addressed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Evidence preserved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Witness information captured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Required internal / external reporting checked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Contributing factors reviewed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Corrective actions assigned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Owners and due dates recorded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Follow-up completed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Lessons communicated where appropriate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Closure verified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Confirm local reporting, privacy, security, insurer and company requirements before use. This is an operational planning aid,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