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Incident &amp; Near-Miss Decision Guide</w:t>
      </w:r>
    </w:p>
    <w:p>
      <w:r>
        <w:rPr>
          <w:rFonts w:ascii="Inter" w:hAnsi="Inter"/>
          <w:color w:val="4B5563"/>
          <w:sz w:val="20"/>
        </w:rPr>
        <w:t>Help supervisors classify what happened consistently and decide what needs immediate escalation, recording and follow-up.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Was anyone injured or made ill?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Was property, equipment or the environment damaged?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Did an unsafe event occur but harm was avoided?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Could the same event reasonably cause harm if repeated?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Is immediate control or isolation required?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Does local law, insurer policy or company policy require external reporting?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Who must be notified internally?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What record should be opened?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Confirm local reporting, privacy, security, insurer and company requirements before use. This is an operational planning aid, not legal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