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554480" cy="46634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ght_transparen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4663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Inter" w:hAnsi="Inter"/>
          <w:b/>
          <w:color w:val="0E2745"/>
          <w:sz w:val="44"/>
        </w:rPr>
        <w:t>Hurricane Exercise Planner</w:t>
      </w:r>
    </w:p>
    <w:p>
      <w:r>
        <w:rPr>
          <w:rFonts w:ascii="Inter" w:hAnsi="Inter"/>
          <w:color w:val="4B5563"/>
          <w:sz w:val="20"/>
        </w:rPr>
        <w:t>Plan a tabletop or practical exercise that tests roles, communications, decisions and operational gaps before the real event.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Exercise objective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Scenario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Date / time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Participants / departments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Roles being tested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Key injects / decision points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Communications being tested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Staff accountability method tested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Operational dependencies tested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Observers / evaluators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What worked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Gaps identified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Actions / owners / due dates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Re-test date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</w:tbl>
    <w:p>
      <w:r>
        <w:rPr>
          <w:rFonts w:ascii="Inter" w:hAnsi="Inter"/>
          <w:b/>
          <w:color w:val="E8572A"/>
        </w:rPr>
        <w:t>IMPORTANT</w:t>
      </w:r>
    </w:p>
    <w:p>
      <w:r>
        <w:rPr>
          <w:rFonts w:ascii="Inter" w:hAnsi="Inter"/>
          <w:sz w:val="16"/>
        </w:rPr>
        <w:t>Follow official warnings, evacuation orders and national/local disaster-management instructions. This planning resource does not replace your approved emergency plan or professional advice.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