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Post-Hurricane Property Assessment</w:t>
      </w:r>
    </w:p>
    <w:p>
      <w:r>
        <w:rPr>
          <w:rFonts w:ascii="Inter" w:hAnsi="Inter"/>
          <w:color w:val="4B5563"/>
          <w:sz w:val="20"/>
        </w:rPr>
        <w:t>Capture visible hazards, damage, service status and immediate controls before normal operations resume.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Assessment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Assessment team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Area / building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life-safety hazard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Access safe / restricted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Structural / building observation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Water / flooding observation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Electrical / generator status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Fire / life-safety systems status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IT / communications status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Food / cold-storage impact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Guest / staff welfare issue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control taken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Photo / evidence reference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Further specialist assessment required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Follow official warnings, evacuation orders and national/local disaster-management instructions. This planning resource does not replace your approved emergency plan or professional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