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17320" cy="4251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25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0"/>
        </w:rPr>
        <w:t>Risk Assessment Worksheet</w:t>
      </w:r>
    </w:p>
    <w:p>
      <w:r>
        <w:rPr>
          <w:rFonts w:ascii="Inter" w:hAnsi="Inter"/>
          <w:color w:val="4B5563"/>
          <w:sz w:val="19"/>
        </w:rPr>
        <w:t>A structured worksheet for describing a task or situation, identifying hazards, recording controls and deciding what needs to change.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Assessment title / activity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Location / department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Assessor and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People who may be affected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Hazard / unwanted event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Potential consequence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Existing controls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Likelihood - use property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Impact - use property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Current risk rating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Further control / action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Action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Target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Residual risk after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Evidence / reference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Review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6"/>
              </w:rPr>
              <w:t>Manager verification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6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  <w:sz w:val="16"/>
        </w:rPr>
        <w:t>IMPORTANT</w:t>
      </w:r>
    </w:p>
    <w:p>
      <w:r>
        <w:rPr>
          <w:rFonts w:ascii="Inter" w:hAnsi="Inter"/>
          <w:color w:val="4B5563"/>
          <w:sz w:val="15"/>
        </w:rPr>
        <w:t>Management aid only. Verify the risk-assessment, incident-reporting, consultation and recordkeeping requirements that apply in your jurisdiction.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