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417320" cy="42519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4251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0"/>
        </w:rPr>
        <w:t>Root Cause Review Worksheet</w:t>
      </w:r>
    </w:p>
    <w:p>
      <w:r>
        <w:rPr>
          <w:rFonts w:ascii="Inter" w:hAnsi="Inter"/>
          <w:color w:val="4B5563"/>
          <w:sz w:val="19"/>
        </w:rPr>
        <w:t>Move beyond blame and immediate causes by asking what conditions, systems and decisions allowed an incident or recurring failure to happen.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Incident / issue reference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Event summary - facts only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Immediate cause(s) observed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Equipment / physical factors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Procedure / process factors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Training / competence factors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Supervision / workload factors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Communication / handover factors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Environment / nonroutine conditions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Why did the immediate cause exist?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Why was it not prevented or detected earlier?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Underlying / root cause(s)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Corrective actions linked to causes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Owner / due date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Evidence of implementation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Effectiveness check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Reviewer / verification date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  <w:sz w:val="16"/>
        </w:rPr>
        <w:t>IMPORTANT</w:t>
      </w:r>
    </w:p>
    <w:p>
      <w:r>
        <w:rPr>
          <w:rFonts w:ascii="Inter" w:hAnsi="Inter"/>
          <w:color w:val="4B5563"/>
          <w:sz w:val="15"/>
        </w:rPr>
        <w:t>Management aid only. Verify the risk-assessment, incident-reporting, consultation and recordkeeping requirements that apply in your jurisdiction.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