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554480" cy="4663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ght_transparen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466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Inter" w:hAnsi="Inter"/>
          <w:b/>
          <w:color w:val="0E2745"/>
          <w:sz w:val="44"/>
        </w:rPr>
        <w:t>Off-Property Work Journey Form</w:t>
      </w:r>
    </w:p>
    <w:p>
      <w:r>
        <w:rPr>
          <w:rFonts w:ascii="Inter" w:hAnsi="Inter"/>
          <w:color w:val="4B5563"/>
          <w:sz w:val="20"/>
        </w:rPr>
        <w:t>Record the work purpose, destination, expected timing, contact route and escalation arrangements for an off-property duty.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Staff member / role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Work purpose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Destination / site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Departure time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Expected arrival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Expected return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Transport method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Work contact / host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Supervisor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Check-in arrangement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Known journey / site concerns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Emergency / escalation contact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Return confirmed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Exception / follow-up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</w:tbl>
    <w:p>
      <w:r>
        <w:rPr>
          <w:rFonts w:ascii="Inter" w:hAnsi="Inter"/>
          <w:b/>
          <w:color w:val="E8572A"/>
        </w:rPr>
        <w:t>IMPORTANT</w:t>
      </w:r>
    </w:p>
    <w:p>
      <w:r>
        <w:rPr>
          <w:rFonts w:ascii="Inter" w:hAnsi="Inter"/>
          <w:sz w:val="16"/>
        </w:rPr>
        <w:t>This resource supports staff-safety planning. Verify the occupational-safety, employment, privacy and emergency requirements that apply locally.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