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554480" cy="4663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ght_transpare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466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4"/>
        </w:rPr>
        <w:t>Security Patrol Safety Card</w:t>
      </w:r>
    </w:p>
    <w:p>
      <w:r>
        <w:rPr>
          <w:rFonts w:ascii="Inter" w:hAnsi="Inter"/>
          <w:color w:val="4B5563"/>
          <w:sz w:val="20"/>
        </w:rPr>
        <w:t>A concise briefing card for route risks, communications, restricted actions, escalation and safe completion.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Officer / shift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Patrol route / zones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Known hazards / restricted areas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Radio / phone check complete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Alarm / emergency method confirmed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Expected patrol duration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Check-in / monitoring arrangement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Do-not-enter / wait-for-support situations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Violence / aggression escalation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Medical / first-aid route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Missed checkpoint / delay escalation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Patrol completion confirmed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</w:tbl>
    <w:p>
      <w:r>
        <w:rPr>
          <w:rFonts w:ascii="Inter" w:hAnsi="Inter"/>
          <w:b/>
          <w:color w:val="E8572A"/>
        </w:rPr>
        <w:t>IMPORTANT</w:t>
      </w:r>
    </w:p>
    <w:p>
      <w:r>
        <w:rPr>
          <w:rFonts w:ascii="Inter" w:hAnsi="Inter"/>
          <w:sz w:val="16"/>
        </w:rPr>
        <w:t>This resource supports staff-safety planning. Verify the occupational-safety, employment, privacy and emergency requirements that apply locally.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