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554480" cy="46634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light_transparen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4663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rFonts w:ascii="Inter" w:hAnsi="Inter"/>
          <w:b/>
          <w:color w:val="0E2745"/>
          <w:sz w:val="44"/>
        </w:rPr>
        <w:t>Staff Emergency Response Flow</w:t>
      </w:r>
    </w:p>
    <w:p>
      <w:r>
        <w:rPr>
          <w:rFonts w:ascii="Inter" w:hAnsi="Inter"/>
          <w:color w:val="4B5563"/>
          <w:sz w:val="20"/>
        </w:rPr>
        <w:t>Define the first response, verification, escalation and documentation path before an emergency alert is ever needed.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Alert / trigger type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First receiving role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Immediate contact attempt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When to call emergency services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When to notify property security / duty manager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Location information available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Trusted / emergency contact rule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If staff member cannot be reached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Internal escalation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Evidence / incident record opened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Post-event welfare follow-up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  <w:tr>
        <w:tc>
          <w:tcPr>
            <w:tcW w:type="dxa" w:w="5184"/>
            <w:shd w:fill="F7F2EA"/>
          </w:tcPr>
          <w:p>
            <w:r>
              <w:rPr>
                <w:rFonts w:ascii="Inter" w:hAnsi="Inter"/>
                <w:b/>
                <w:color w:val="0E2745"/>
                <w:sz w:val="17"/>
              </w:rPr>
              <w:t>Review / closure</w:t>
            </w:r>
          </w:p>
        </w:tc>
        <w:tc>
          <w:tcPr>
            <w:tcW w:type="dxa" w:w="5184"/>
          </w:tcPr>
          <w:p>
            <w:r>
              <w:rPr>
                <w:rFonts w:ascii="Inter" w:hAnsi="Inter"/>
                <w:color w:val="E8572A"/>
                <w:sz w:val="17"/>
              </w:rPr>
              <w:t>[Complete here]</w:t>
            </w:r>
          </w:p>
        </w:tc>
      </w:tr>
    </w:tbl>
    <w:p>
      <w:r>
        <w:rPr>
          <w:rFonts w:ascii="Inter" w:hAnsi="Inter"/>
          <w:b/>
          <w:color w:val="E8572A"/>
        </w:rPr>
        <w:t>IMPORTANT</w:t>
      </w:r>
    </w:p>
    <w:p>
      <w:r>
        <w:rPr>
          <w:rFonts w:ascii="Inter" w:hAnsi="Inter"/>
          <w:sz w:val="16"/>
        </w:rPr>
        <w:t>This resource supports staff-safety planning. Verify the occupational-safety, employment, privacy and emergency requirements that apply locally.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